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before="88"/>
        <w:ind w:right="106"/>
        <w:jc w:val="right"/>
        <w:rPr>
          <w:color w:val="000000"/>
        </w:rPr>
      </w:pPr>
      <w:r>
        <w:rPr>
          <w:color w:val="000000"/>
        </w:rPr>
        <w:t>Castanhal, 11 de novembro de 2021.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3366"/>
        </w:tabs>
        <w:spacing w:before="111" w:line="291" w:lineRule="auto"/>
        <w:ind w:left="1276" w:right="4339"/>
        <w:rPr>
          <w:color w:val="000000"/>
        </w:rPr>
      </w:pPr>
      <w:r>
        <w:rPr>
          <w:color w:val="000000"/>
        </w:rPr>
        <w:t xml:space="preserve">Ao 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3366"/>
        </w:tabs>
        <w:spacing w:before="111" w:line="291" w:lineRule="auto"/>
        <w:ind w:left="1276" w:right="4339"/>
        <w:rPr>
          <w:color w:val="000000"/>
        </w:rPr>
      </w:pPr>
      <w:r>
        <w:rPr>
          <w:color w:val="000000"/>
        </w:rPr>
        <w:t xml:space="preserve">Banco Itaú Unibanco S.A.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tabs>
          <w:tab w:val="left" w:pos="3366"/>
        </w:tabs>
        <w:spacing w:before="111" w:line="291" w:lineRule="auto"/>
        <w:ind w:left="1276" w:right="4339"/>
        <w:rPr>
          <w:color w:val="000000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3366"/>
        </w:tabs>
        <w:spacing w:before="111" w:line="291" w:lineRule="auto"/>
        <w:ind w:left="1276" w:right="82"/>
        <w:rPr>
          <w:color w:val="000000"/>
        </w:rPr>
      </w:pPr>
      <w:r>
        <w:rPr>
          <w:color w:val="000000"/>
        </w:rPr>
        <w:t xml:space="preserve">Ref.: Pregão Eletrônico nº 100/2021 – Resposta ao Pedido de Esclarecimentos Itaú Unibanco n. º </w:t>
      </w:r>
      <w:r>
        <w:rPr>
          <w:rFonts w:ascii="Century Gothic" w:eastAsia="Century Gothic" w:hAnsi="Century Gothic" w:cs="Century Gothic"/>
          <w:b/>
          <w:color w:val="000000"/>
        </w:rPr>
        <w:t>01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rFonts w:ascii="Century Gothic" w:eastAsia="Century Gothic" w:hAnsi="Century Gothic" w:cs="Century Gothic"/>
          <w:b/>
          <w:color w:val="000000"/>
          <w:sz w:val="31"/>
          <w:szCs w:val="31"/>
        </w:rPr>
      </w:pPr>
    </w:p>
    <w:p w:rsidR="00F07C54" w:rsidRDefault="00F66E19">
      <w:pPr>
        <w:pStyle w:val="Ttulo1"/>
        <w:spacing w:before="1"/>
        <w:ind w:firstLine="1242"/>
      </w:pPr>
      <w:r>
        <w:t>CNPJs CONTEMPLADOS NA LICITAÇÃO</w:t>
      </w: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4"/>
        </w:tabs>
        <w:spacing w:before="56" w:line="291" w:lineRule="auto"/>
        <w:ind w:right="110" w:firstLine="0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a) </w:t>
      </w:r>
      <w:r>
        <w:rPr>
          <w:color w:val="000000"/>
        </w:rPr>
        <w:t>Considerando que cada entidade da Administração possui personalidade jurídica própria (ou seja, é responsável exclusiva pelo pagamento de seu quadro de funcionários), o Município obteve autorização prévia e expressa dos demais CNPJs para promover a licitação de suas folhas de pagamento? Em caso positivo, favor disponibilizar cópias dos respectivos Convênios/autorizações.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74"/>
        </w:tabs>
        <w:spacing w:before="56" w:line="291" w:lineRule="auto"/>
        <w:ind w:left="1242" w:right="110"/>
        <w:rPr>
          <w:color w:val="FF0000"/>
        </w:rPr>
      </w:pPr>
      <w:r>
        <w:rPr>
          <w:rFonts w:ascii="Century Gothic" w:eastAsia="Century Gothic" w:hAnsi="Century Gothic" w:cs="Century Gothic"/>
          <w:b/>
          <w:color w:val="FF0000"/>
        </w:rPr>
        <w:t xml:space="preserve">Resposta: </w:t>
      </w:r>
      <w:r>
        <w:rPr>
          <w:rFonts w:ascii="Century Gothic" w:eastAsia="Century Gothic" w:hAnsi="Century Gothic" w:cs="Century Gothic"/>
          <w:color w:val="FF0000"/>
        </w:rPr>
        <w:t xml:space="preserve">Sim. Cópia em anexo.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FF0000"/>
          <w:sz w:val="27"/>
          <w:szCs w:val="27"/>
        </w:rPr>
      </w:pPr>
    </w:p>
    <w:p w:rsidR="00F07C54" w:rsidRDefault="00F6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6"/>
        </w:tabs>
        <w:ind w:hanging="224"/>
        <w:jc w:val="both"/>
      </w:pPr>
      <w:r>
        <w:rPr>
          <w:color w:val="000000"/>
        </w:rPr>
        <w:t>Todos os CNPJs contemplados na presente licitação assinarão o contrato?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466"/>
        </w:tabs>
        <w:ind w:left="1241"/>
        <w:rPr>
          <w:color w:val="FF0000"/>
        </w:rPr>
      </w:pPr>
      <w:r>
        <w:rPr>
          <w:b/>
          <w:color w:val="FF0000"/>
        </w:rPr>
        <w:t xml:space="preserve">Resposta: </w:t>
      </w:r>
      <w:r>
        <w:rPr>
          <w:color w:val="FF0000"/>
        </w:rPr>
        <w:t>Sim.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11"/>
        <w:rPr>
          <w:color w:val="000000"/>
          <w:sz w:val="31"/>
          <w:szCs w:val="31"/>
        </w:rPr>
      </w:pPr>
    </w:p>
    <w:p w:rsidR="00F07C54" w:rsidRDefault="00F66E1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1442"/>
        </w:tabs>
        <w:spacing w:line="295" w:lineRule="auto"/>
        <w:ind w:left="1242" w:right="110" w:firstLine="0"/>
        <w:jc w:val="both"/>
      </w:pPr>
      <w:r>
        <w:rPr>
          <w:color w:val="000000"/>
        </w:rPr>
        <w:t>O futuro contratado deverá pagar à Prefeitura apenas o valor proporcional relativamente às folhas que realmente lhe forem transferidas?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442"/>
        </w:tabs>
        <w:spacing w:line="295" w:lineRule="auto"/>
        <w:ind w:left="1242" w:right="110"/>
        <w:rPr>
          <w:b/>
          <w:color w:val="FF0000"/>
        </w:rPr>
      </w:pPr>
      <w:r>
        <w:rPr>
          <w:b/>
          <w:color w:val="FF0000"/>
        </w:rPr>
        <w:t xml:space="preserve">Resposta: Sim.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F07C54" w:rsidRDefault="00F66E19">
      <w:pPr>
        <w:pStyle w:val="Ttulo1"/>
        <w:ind w:firstLine="1242"/>
      </w:pPr>
      <w:r>
        <w:t>DA CONTA CORRENTE/CONTA SALÁRIO:</w:t>
      </w: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14"/>
        </w:tabs>
        <w:spacing w:before="57" w:line="291" w:lineRule="auto"/>
        <w:ind w:right="108" w:firstLine="0"/>
        <w:jc w:val="both"/>
      </w:pPr>
      <w:r>
        <w:rPr>
          <w:color w:val="000000"/>
        </w:rPr>
        <w:t>Tendo em vista que o serviço ora licitado é amplamente regulado pelo Conselho Monetário Nacional/Banco Central do Brasil (p.ex. Resoluções 3.402 e 3.424/06), está correto o entendimento de que se aplicam integralmente as regras trazidas pelos normativos do CMN/BACEN, ou seja, caberá aos empregados a opção entre a abertura de conta corrente ou conta salário junto ao banco contratado para recebimento de seus vencimentos, bem como que a Prefeitura processará o pagamento apenas destas formas (não sendo utilizados DOC, TED, Ordem de Pagamento, cheque etc.)?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614"/>
        </w:tabs>
        <w:spacing w:before="57" w:line="291" w:lineRule="auto"/>
        <w:ind w:left="1242" w:right="108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Está correto o entendimento.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7"/>
          <w:szCs w:val="27"/>
        </w:rPr>
      </w:pP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spacing w:line="291" w:lineRule="auto"/>
        <w:ind w:right="112" w:firstLine="0"/>
        <w:jc w:val="both"/>
      </w:pPr>
      <w:r>
        <w:rPr>
          <w:color w:val="000000"/>
        </w:rPr>
        <w:t>Se o empregado desejar contratar uma conta corrente, a negociação dos produtos e serviços bem como das tarifas será livremente pactuada entre o Banco e o cliente, respeitadas as regras emanadas pelo CMN/BACEN quanto à padronização de literais e isenções tarifárias?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spacing w:line="291" w:lineRule="auto"/>
        <w:ind w:left="1242" w:right="112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Está correto o entendimento.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66E19">
      <w:pPr>
        <w:pStyle w:val="Ttulo1"/>
        <w:ind w:firstLine="1242"/>
      </w:pPr>
      <w:r>
        <w:t>SERVIDORES</w:t>
      </w:r>
    </w:p>
    <w:p w:rsidR="00F07C54" w:rsidRDefault="00F07C54">
      <w:pPr>
        <w:pStyle w:val="Ttulo1"/>
        <w:ind w:firstLine="1242"/>
      </w:pPr>
    </w:p>
    <w:p w:rsidR="00F07C54" w:rsidRDefault="00F66E19">
      <w:pPr>
        <w:pStyle w:val="Ttulo1"/>
        <w:ind w:firstLine="1242"/>
      </w:pPr>
      <w:r>
        <w:t>O Itaú Unibanco é o atual prestador de serviço do processamento da folha de pagamento dos servidores de Castanhal – PA.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242" w:right="108"/>
        <w:jc w:val="both"/>
        <w:rPr>
          <w:color w:val="000000"/>
        </w:rPr>
      </w:pPr>
      <w:r>
        <w:rPr>
          <w:color w:val="000000"/>
        </w:rPr>
        <w:t>Ocorre que a média de pagamento dos últimos 3 meses resultou em 7.489 processamentos e, em contrapartida, a pirâmide do edital em referência prevê uma quantidade de 8.024 servidores. Qual é o motivo dessa divergência?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242" w:right="108"/>
        <w:jc w:val="both"/>
        <w:rPr>
          <w:color w:val="000000"/>
        </w:rPr>
      </w:pPr>
      <w:r>
        <w:rPr>
          <w:b/>
          <w:color w:val="FF0000"/>
        </w:rPr>
        <w:t>Resposta</w:t>
      </w:r>
      <w:r>
        <w:rPr>
          <w:color w:val="FF0000"/>
        </w:rPr>
        <w:t>: A pirâmide salarial foi confeccionada com base em setembro/2021 e é composta de 7117 servidores ativos e 907 aposentados e pensionistas do IPMC e é passível de alteração por conta da movimentação de contratações/ demissões em trânsito</w:t>
      </w:r>
      <w:r>
        <w:rPr>
          <w:color w:val="000000"/>
        </w:rPr>
        <w:t>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6"/>
          <w:szCs w:val="26"/>
        </w:rPr>
      </w:pP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before="1" w:line="290" w:lineRule="auto"/>
        <w:ind w:right="109" w:firstLine="0"/>
        <w:jc w:val="both"/>
      </w:pPr>
      <w:r>
        <w:rPr>
          <w:color w:val="000000"/>
        </w:rPr>
        <w:t>É correto o entendimento de que a totalidade de servidores deste órgão, inclusive aqueles da educação básica, é objeto de processamento da Folha de Pagamento?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602"/>
        </w:tabs>
        <w:spacing w:before="1" w:line="290" w:lineRule="auto"/>
        <w:ind w:left="1242" w:right="109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Está correto o entendimento.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7"/>
          <w:szCs w:val="27"/>
        </w:rPr>
      </w:pP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6"/>
        </w:tabs>
        <w:ind w:left="1585" w:hanging="344"/>
        <w:jc w:val="both"/>
      </w:pPr>
      <w:r>
        <w:rPr>
          <w:color w:val="000000"/>
        </w:rPr>
        <w:t>Favor informar a distribuição dos servidores que compõem a folha, da seguinte forma: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12"/>
        <w:rPr>
          <w:color w:val="000000"/>
          <w:sz w:val="10"/>
          <w:szCs w:val="10"/>
        </w:rPr>
      </w:pPr>
    </w:p>
    <w:tbl>
      <w:tblPr>
        <w:tblStyle w:val="a"/>
        <w:tblW w:w="8841" w:type="dxa"/>
        <w:tblInd w:w="12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3620"/>
      </w:tblGrid>
      <w:tr w:rsidR="00F07C54">
        <w:trPr>
          <w:trHeight w:val="559"/>
        </w:trPr>
        <w:tc>
          <w:tcPr>
            <w:tcW w:w="5221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7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Órgão</w:t>
            </w:r>
          </w:p>
        </w:tc>
        <w:tc>
          <w:tcPr>
            <w:tcW w:w="3620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9"/>
              <w:ind w:left="105"/>
              <w:rPr>
                <w:rFonts w:ascii="Century Gothic" w:eastAsia="Century Gothic" w:hAnsi="Century Gothic" w:cs="Century Gothic"/>
                <w:b/>
                <w:color w:val="FF0000"/>
              </w:rPr>
            </w:pPr>
            <w:r>
              <w:rPr>
                <w:rFonts w:ascii="Century Gothic" w:eastAsia="Century Gothic" w:hAnsi="Century Gothic" w:cs="Century Gothic"/>
                <w:b/>
                <w:color w:val="FF0000"/>
              </w:rPr>
              <w:t>Quantidade de servidores</w:t>
            </w:r>
          </w:p>
        </w:tc>
      </w:tr>
      <w:tr w:rsidR="00F07C54">
        <w:trPr>
          <w:trHeight w:val="325"/>
        </w:trPr>
        <w:tc>
          <w:tcPr>
            <w:tcW w:w="5221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/>
              <w:rPr>
                <w:color w:val="FF0000"/>
              </w:rPr>
            </w:pPr>
            <w:r>
              <w:rPr>
                <w:color w:val="FF0000"/>
              </w:rPr>
              <w:t>Secretaria de Administração (Prefeitura)</w:t>
            </w:r>
          </w:p>
        </w:tc>
        <w:tc>
          <w:tcPr>
            <w:tcW w:w="3620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2965</w:t>
            </w:r>
          </w:p>
        </w:tc>
      </w:tr>
      <w:tr w:rsidR="00F07C54">
        <w:trPr>
          <w:trHeight w:val="325"/>
        </w:trPr>
        <w:tc>
          <w:tcPr>
            <w:tcW w:w="5221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/>
              <w:rPr>
                <w:color w:val="FF0000"/>
              </w:rPr>
            </w:pPr>
            <w:r>
              <w:rPr>
                <w:color w:val="FF0000"/>
              </w:rPr>
              <w:t>Secretaria da Educação</w:t>
            </w:r>
          </w:p>
        </w:tc>
        <w:tc>
          <w:tcPr>
            <w:tcW w:w="3620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2605</w:t>
            </w:r>
          </w:p>
        </w:tc>
      </w:tr>
      <w:tr w:rsidR="00F07C54">
        <w:trPr>
          <w:trHeight w:val="325"/>
        </w:trPr>
        <w:tc>
          <w:tcPr>
            <w:tcW w:w="5221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/>
              <w:rPr>
                <w:color w:val="FF0000"/>
              </w:rPr>
            </w:pPr>
            <w:r>
              <w:rPr>
                <w:color w:val="FF0000"/>
              </w:rPr>
              <w:t>Secretaria da Saúde</w:t>
            </w:r>
          </w:p>
        </w:tc>
        <w:tc>
          <w:tcPr>
            <w:tcW w:w="3620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2087</w:t>
            </w:r>
          </w:p>
        </w:tc>
      </w:tr>
      <w:tr w:rsidR="00F07C54">
        <w:trPr>
          <w:trHeight w:val="325"/>
        </w:trPr>
        <w:tc>
          <w:tcPr>
            <w:tcW w:w="5221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/>
              <w:rPr>
                <w:color w:val="FF0000"/>
              </w:rPr>
            </w:pPr>
            <w:r>
              <w:rPr>
                <w:color w:val="FF0000"/>
              </w:rPr>
              <w:t>Secretaria do Transporte</w:t>
            </w:r>
          </w:p>
        </w:tc>
        <w:tc>
          <w:tcPr>
            <w:tcW w:w="3620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Contido na Administração</w:t>
            </w:r>
          </w:p>
        </w:tc>
      </w:tr>
      <w:tr w:rsidR="00F07C54">
        <w:trPr>
          <w:trHeight w:val="325"/>
        </w:trPr>
        <w:tc>
          <w:tcPr>
            <w:tcW w:w="5221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ind w:left="107"/>
              <w:rPr>
                <w:color w:val="FF0000"/>
              </w:rPr>
            </w:pPr>
            <w:r>
              <w:rPr>
                <w:color w:val="FF0000"/>
              </w:rPr>
              <w:t>Outros (especificar) - IPMC</w:t>
            </w:r>
          </w:p>
        </w:tc>
        <w:tc>
          <w:tcPr>
            <w:tcW w:w="3620" w:type="dxa"/>
          </w:tcPr>
          <w:p w:rsidR="00F07C54" w:rsidRDefault="00F66E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907</w:t>
            </w:r>
          </w:p>
        </w:tc>
      </w:tr>
    </w:tbl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7"/>
          <w:szCs w:val="27"/>
        </w:rPr>
      </w:pPr>
    </w:p>
    <w:p w:rsidR="00F07C54" w:rsidRDefault="00F66E19">
      <w:pPr>
        <w:pStyle w:val="Ttulo1"/>
        <w:ind w:firstLine="1242"/>
      </w:pPr>
      <w:r>
        <w:t>ESTRUTURA</w:t>
      </w: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54" w:line="290" w:lineRule="auto"/>
        <w:ind w:right="104" w:firstLine="0"/>
        <w:jc w:val="both"/>
      </w:pPr>
      <w:r>
        <w:rPr>
          <w:rFonts w:ascii="Century Gothic" w:eastAsia="Century Gothic" w:hAnsi="Century Gothic" w:cs="Century Gothic"/>
          <w:b/>
          <w:color w:val="000000"/>
        </w:rPr>
        <w:t xml:space="preserve">a) </w:t>
      </w:r>
      <w:r>
        <w:rPr>
          <w:color w:val="000000"/>
        </w:rPr>
        <w:t>Está correto o entendimento de que a instalação de estruturas bancárias nas dependências municipais, nos termos do subitem 1.3 do edital, será sem ônus à Contratada?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93"/>
        </w:tabs>
        <w:spacing w:before="54" w:line="290" w:lineRule="auto"/>
        <w:ind w:left="1242" w:right="104"/>
        <w:rPr>
          <w:color w:val="FF0000"/>
        </w:rPr>
      </w:pPr>
      <w:r>
        <w:rPr>
          <w:rFonts w:ascii="Century Gothic" w:eastAsia="Century Gothic" w:hAnsi="Century Gothic" w:cs="Century Gothic"/>
          <w:b/>
          <w:color w:val="FF0000"/>
        </w:rPr>
        <w:t xml:space="preserve">Resposta: </w:t>
      </w:r>
      <w:r>
        <w:rPr>
          <w:rFonts w:ascii="Century Gothic" w:eastAsia="Century Gothic" w:hAnsi="Century Gothic" w:cs="Century Gothic"/>
          <w:color w:val="FF0000"/>
        </w:rPr>
        <w:t xml:space="preserve">Sim. Está correto o entendimento.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27"/>
          <w:szCs w:val="27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ind w:left="1242"/>
        <w:jc w:val="both"/>
        <w:rPr>
          <w:color w:val="000000"/>
        </w:rPr>
      </w:pPr>
      <w:r>
        <w:rPr>
          <w:color w:val="000000"/>
        </w:rPr>
        <w:t>b) A ocupação se dará por processo administrativo próprio?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ind w:left="1242"/>
        <w:jc w:val="both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2"/>
          <w:szCs w:val="32"/>
        </w:rPr>
      </w:pPr>
    </w:p>
    <w:p w:rsidR="00F07C54" w:rsidRDefault="00F66E19">
      <w:pPr>
        <w:pStyle w:val="Ttulo1"/>
        <w:ind w:firstLine="1242"/>
      </w:pPr>
      <w:r>
        <w:t>CONSIGNADO</w:t>
      </w: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54" w:line="291" w:lineRule="auto"/>
        <w:ind w:right="112" w:firstLine="0"/>
        <w:jc w:val="both"/>
      </w:pPr>
      <w:r>
        <w:rPr>
          <w:color w:val="000000"/>
        </w:rPr>
        <w:t>É correto afirmar que o banco vencedor poderá oferecer empréstimos consignados caso tenha interesse, não sendo obrigado a isso, já que esta modalidade de empréstimo por regra do CMN/Bacen é prestada sem exclusividade?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600"/>
        </w:tabs>
        <w:spacing w:before="54" w:line="291" w:lineRule="auto"/>
        <w:ind w:left="1242" w:right="112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Está correto o entendimento.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7"/>
          <w:szCs w:val="27"/>
        </w:rPr>
      </w:pPr>
    </w:p>
    <w:p w:rsidR="00F07C54" w:rsidRDefault="00F66E19">
      <w:pPr>
        <w:pStyle w:val="Ttulo1"/>
        <w:spacing w:before="1"/>
        <w:ind w:firstLine="1242"/>
      </w:pPr>
      <w:r>
        <w:t>VIGÊNCIA CONTRATUAL</w:t>
      </w:r>
    </w:p>
    <w:p w:rsidR="00F07C54" w:rsidRDefault="00F66E1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1581"/>
        </w:tabs>
        <w:spacing w:before="56" w:line="290" w:lineRule="auto"/>
        <w:ind w:right="108" w:firstLine="0"/>
        <w:jc w:val="both"/>
      </w:pPr>
      <w:r>
        <w:rPr>
          <w:color w:val="000000"/>
        </w:rPr>
        <w:t>Está correto o entendimento de que a vigência contratual de 60 meses iniciar-se-á após o término do contrato atual, ou seja, após 30/11/2021?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81"/>
        </w:tabs>
        <w:spacing w:before="56" w:line="290" w:lineRule="auto"/>
        <w:ind w:left="1242" w:right="108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>: Sim. Está correto o entendimento.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FF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FF0000"/>
          <w:sz w:val="27"/>
          <w:szCs w:val="27"/>
        </w:rPr>
      </w:pP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FF0000"/>
          <w:sz w:val="27"/>
          <w:szCs w:val="27"/>
        </w:rPr>
      </w:pPr>
    </w:p>
    <w:p w:rsidR="00F07C54" w:rsidRDefault="00F66E19">
      <w:pPr>
        <w:pStyle w:val="Ttulo1"/>
        <w:ind w:firstLine="1242"/>
      </w:pPr>
      <w:r>
        <w:t>CORREÇÃO DE VÍCIOS OU DEFEITOS</w:t>
      </w: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71"/>
        </w:tabs>
        <w:spacing w:before="54" w:line="291" w:lineRule="auto"/>
        <w:ind w:right="108" w:firstLine="0"/>
        <w:jc w:val="both"/>
      </w:pPr>
      <w:r>
        <w:rPr>
          <w:color w:val="000000"/>
        </w:rPr>
        <w:t>O subitem 16.5 do edital menciona que o prazo para sanar os óbices, compreendendo reparos e substituições dos objetos, obrigando-se a reposição em perfeito estado de uso, será no máximo de até 5 dias úteis, contados a partir da solicitação efetuada.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2"/>
        <w:rPr>
          <w:color w:val="000000"/>
          <w:sz w:val="27"/>
          <w:szCs w:val="27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ind w:left="1242"/>
        <w:jc w:val="both"/>
        <w:rPr>
          <w:color w:val="000000"/>
          <w:sz w:val="20"/>
          <w:szCs w:val="20"/>
        </w:rPr>
      </w:pPr>
      <w:r>
        <w:rPr>
          <w:color w:val="000000"/>
        </w:rPr>
        <w:t>Ocorre que: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15"/>
          <w:szCs w:val="15"/>
        </w:rPr>
      </w:pPr>
    </w:p>
    <w:p w:rsidR="00F07C54" w:rsidRDefault="00F6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59"/>
        </w:tabs>
        <w:spacing w:before="88" w:line="295" w:lineRule="auto"/>
        <w:ind w:right="107" w:firstLine="0"/>
        <w:jc w:val="both"/>
      </w:pPr>
      <w:r>
        <w:rPr>
          <w:color w:val="000000"/>
        </w:rPr>
        <w:t>A instituição financeira necessita de prazo razoável para conserto e/ou substituição de equipamentos, já que depende de vários fatores (laudo técnico que identifique as peças a serem consertadas/substituídas ou que ateste a necessidade de troca total do equipamento, disponibilidade em estoque das peças para conserto/equipamento para troca, tempo de transporte das peças/equipamento, algumas peças são importadas e seu desembaraço na aduana pode levar dias etc);</w:t>
      </w:r>
    </w:p>
    <w:p w:rsidR="00F07C54" w:rsidRDefault="00F6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8"/>
        </w:tabs>
        <w:spacing w:line="295" w:lineRule="auto"/>
        <w:ind w:right="116" w:firstLine="0"/>
        <w:jc w:val="both"/>
      </w:pPr>
      <w:r>
        <w:rPr>
          <w:color w:val="000000"/>
        </w:rPr>
        <w:t>O contratado não tem poder de evitar que, por força maior ou caso fortuito, o equipamento apresente defeitos;</w:t>
      </w:r>
    </w:p>
    <w:p w:rsidR="00F07C54" w:rsidRDefault="00F66E19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tabs>
          <w:tab w:val="left" w:pos="1401"/>
        </w:tabs>
        <w:spacing w:line="263" w:lineRule="auto"/>
        <w:ind w:left="1400" w:hanging="159"/>
        <w:jc w:val="both"/>
      </w:pPr>
      <w:r>
        <w:rPr>
          <w:color w:val="000000"/>
        </w:rPr>
        <w:t>Cabe à Contratada sanar falhas, vícios ou defeitos em prazo razoável.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31"/>
          <w:szCs w:val="31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242" w:right="106"/>
        <w:jc w:val="both"/>
        <w:rPr>
          <w:color w:val="000000"/>
        </w:rPr>
      </w:pPr>
      <w:r>
        <w:rPr>
          <w:color w:val="000000"/>
        </w:rPr>
        <w:t>Assim, está correto o entendimento de que, para fins do disposto no referido subitem, o prazo para boa execução do futuro contrato necessária será razoável, de maneira a considerar a complexidade dos eventuais vícios, defeitos ou incorreções?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242" w:right="106"/>
        <w:jc w:val="both"/>
        <w:rPr>
          <w:color w:val="000000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242" w:right="106"/>
        <w:jc w:val="both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>: Sim. Está correto o entendimento, sem prejuízo para a qualidade da prestação de serviço.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6"/>
        <w:rPr>
          <w:color w:val="000000"/>
          <w:sz w:val="26"/>
          <w:szCs w:val="26"/>
        </w:rPr>
      </w:pPr>
    </w:p>
    <w:p w:rsidR="00F07C54" w:rsidRDefault="00F66E19">
      <w:pPr>
        <w:pStyle w:val="Ttulo1"/>
        <w:ind w:firstLine="1242"/>
      </w:pPr>
      <w:r>
        <w:t>BLOQUEIO E DESBLOQUEIO</w:t>
      </w: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5"/>
        </w:tabs>
        <w:spacing w:before="57" w:line="291" w:lineRule="auto"/>
        <w:ind w:right="106" w:firstLine="0"/>
        <w:jc w:val="both"/>
      </w:pPr>
      <w:r>
        <w:rPr>
          <w:color w:val="000000"/>
        </w:rPr>
        <w:t>O subitem 4.3 do Termo de Referência prevê o bloqueio e desbloqueio dos créditos até um dia antes da efetivação do crédito em conta corrente ou conta salário, conforme opção realizada pelo servidor, por meio de transmissão de arquivos.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3"/>
          <w:szCs w:val="23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5" w:lineRule="auto"/>
        <w:ind w:left="1242" w:right="106"/>
        <w:jc w:val="both"/>
        <w:rPr>
          <w:color w:val="000000"/>
        </w:rPr>
      </w:pPr>
      <w:r>
        <w:rPr>
          <w:color w:val="000000"/>
        </w:rPr>
        <w:t>Sobre essa previsão, na sistemática atual, o município envia os arquivos e, na eventualidade de detectar a necessidade de exclusão ou inclusão de novo pagamento procede o cancelamento do arquivo enviado e reenvia. Não existe, assim, a possibilidade de envio de um arquivo e ‘edição’ para manter um pagamento contudo bloqueá-lo para ‘créditos futuros’.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color w:val="000000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242" w:right="106"/>
        <w:jc w:val="both"/>
        <w:rPr>
          <w:color w:val="000000"/>
        </w:rPr>
      </w:pPr>
      <w:r>
        <w:rPr>
          <w:color w:val="000000"/>
        </w:rPr>
        <w:t>Neste sentido, está correto o entendimento de que os bloqueios e desbloqueios serão supridos através da exclusão ou inclusão de pagamentos no arquivo a ser processado pelo SISPAG – sistema de pagamentos?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242" w:right="106"/>
        <w:jc w:val="both"/>
        <w:rPr>
          <w:color w:val="000000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line="291" w:lineRule="auto"/>
        <w:ind w:left="1242" w:right="106"/>
        <w:jc w:val="both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Está correto o entendimento. Tais procedimentos podem ser alterados, tendo em vista a celeridade e a segurança da operação.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7"/>
        <w:rPr>
          <w:color w:val="000000"/>
          <w:sz w:val="23"/>
          <w:szCs w:val="23"/>
        </w:rPr>
      </w:pPr>
    </w:p>
    <w:p w:rsidR="00F07C54" w:rsidRDefault="00F66E19">
      <w:pPr>
        <w:pStyle w:val="Ttulo1"/>
        <w:ind w:firstLine="1242"/>
      </w:pPr>
      <w:r>
        <w:t>SIGILO BANCÁRIO / FISCALIZAÇÃO</w:t>
      </w: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2"/>
        </w:tabs>
        <w:spacing w:before="54" w:line="291" w:lineRule="auto"/>
        <w:ind w:right="106" w:firstLine="0"/>
        <w:jc w:val="both"/>
      </w:pPr>
      <w:r>
        <w:rPr>
          <w:color w:val="000000"/>
        </w:rPr>
        <w:t xml:space="preserve">O subitem 21.2 do Termo de Referência menciona que a instituição financeira concorda e autoriza que a Administração Pública do Brasil possa inspecionar o local de sua </w:t>
      </w:r>
      <w:r>
        <w:rPr>
          <w:color w:val="000000"/>
        </w:rPr>
        <w:lastRenderedPageBreak/>
        <w:t>execução e todos os documentos, contas e registros a ele relacionados, aplicando-se as disposições da Lei nº 12.846/2013 (Lei Anticorrupção).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8"/>
          <w:szCs w:val="28"/>
        </w:rPr>
      </w:pP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before="204" w:line="295" w:lineRule="auto"/>
        <w:ind w:left="1242" w:right="105"/>
        <w:jc w:val="both"/>
        <w:rPr>
          <w:color w:val="000000"/>
        </w:rPr>
      </w:pPr>
      <w:r>
        <w:rPr>
          <w:color w:val="000000"/>
        </w:rPr>
        <w:t>Considerando que a presente licitação visa a contratação de instituição financeira e que esta deve assegurar o sigilo bancário, nos termos da lei e conforme previsto no próprio edital, está correto o entendimento de que as referidas obrigações limitar-se-ão ao escopo do contrato e respeitarão o sigilo bancário, nos termos da Lei Complementar nº 105/2021?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spacing w:before="204" w:line="295" w:lineRule="auto"/>
        <w:ind w:left="1242" w:right="105"/>
        <w:jc w:val="both"/>
        <w:rPr>
          <w:color w:val="000000"/>
        </w:rPr>
      </w:pPr>
      <w:r>
        <w:rPr>
          <w:b/>
          <w:color w:val="FF0000"/>
        </w:rPr>
        <w:t>Resposta</w:t>
      </w:r>
      <w:r>
        <w:rPr>
          <w:color w:val="FF0000"/>
        </w:rPr>
        <w:t>: Sim. Está correto o entendimento.</w:t>
      </w:r>
      <w:r>
        <w:rPr>
          <w:color w:val="000000"/>
        </w:rPr>
        <w:t xml:space="preserve"> </w:t>
      </w: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636"/>
        </w:tabs>
        <w:spacing w:before="86" w:line="291" w:lineRule="auto"/>
        <w:ind w:right="107" w:firstLine="0"/>
        <w:jc w:val="both"/>
        <w:rPr>
          <w:color w:val="000000"/>
        </w:rPr>
      </w:pPr>
      <w:r>
        <w:rPr>
          <w:color w:val="000000"/>
        </w:rPr>
        <w:t>Com relação ao subitem 10.2 do edital, caso seja necessário o envio de documentos originais/autenticados, está correto o entendimento de que considerar-se-á cumprido o prazo de 03 dias úteis através da apresentação do comprovante de envio da documentação por Correios/SEDEX?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636"/>
        </w:tabs>
        <w:spacing w:before="86" w:line="291" w:lineRule="auto"/>
        <w:ind w:left="1242" w:right="107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Está correto o entendimento.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69"/>
        </w:tabs>
        <w:spacing w:line="291" w:lineRule="auto"/>
        <w:ind w:right="109" w:firstLine="0"/>
        <w:jc w:val="both"/>
      </w:pPr>
      <w:r>
        <w:rPr>
          <w:color w:val="000000"/>
        </w:rPr>
        <w:t>O subitem 6.3.2.5.c menciona que o participante deverá apresentar declaração de que caso seja vencedora desta licitação, cujos objetos sejam compatíveis com o processo de aprendizagem, e profissionalização de adolescentes, a contratação destes, nos termos do Estatuto da Criança e do Adolescente (Lei n.° 8.069/90) e das alterações advindas da Lei n.° 10.097/00, no tocante a Consolidação das Leis de Trabalho.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4"/>
        <w:rPr>
          <w:color w:val="000000"/>
          <w:sz w:val="27"/>
          <w:szCs w:val="27"/>
        </w:rPr>
      </w:pPr>
    </w:p>
    <w:p w:rsidR="00F07C54" w:rsidRDefault="00F66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5" w:lineRule="auto"/>
        <w:ind w:right="107" w:firstLine="0"/>
        <w:jc w:val="both"/>
      </w:pPr>
      <w:r>
        <w:rPr>
          <w:color w:val="000000"/>
        </w:rPr>
        <w:t>Considerando que o objeto da licitação em epígrafe é a contratação de instituição financeira para operacionalização e gerenciamento da folha de pagamento dos servidores, está correto o entendimento de que a referida declaração será dispensada?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461"/>
        </w:tabs>
        <w:spacing w:line="295" w:lineRule="auto"/>
        <w:ind w:left="1242" w:right="107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>: Sim. Está correto o entendimento.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F07C54" w:rsidRDefault="00F66E19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tabs>
          <w:tab w:val="left" w:pos="1466"/>
        </w:tabs>
        <w:spacing w:line="295" w:lineRule="auto"/>
        <w:ind w:right="104" w:firstLine="0"/>
        <w:jc w:val="both"/>
      </w:pPr>
      <w:r>
        <w:rPr>
          <w:color w:val="000000"/>
        </w:rPr>
        <w:t>Se mantida, está correto o entendimento de que seu texto, na verdade, é declarar de que caso seja vencedora desta licitação, a contratação de adolescentes deverá ocorrer nos termos do Estatuto da Criança e do Adolescente (Lei n.° 8.069/90) e das alterações advindas da Lei n.° 10.097/00, no tocante a Consolidação das Leis de Trabalho?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466"/>
        </w:tabs>
        <w:spacing w:line="295" w:lineRule="auto"/>
        <w:ind w:left="1242" w:right="104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>: Não se aplica.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8"/>
        <w:rPr>
          <w:color w:val="000000"/>
          <w:sz w:val="26"/>
          <w:szCs w:val="26"/>
        </w:rPr>
      </w:pPr>
    </w:p>
    <w:p w:rsidR="00F07C54" w:rsidRDefault="00F66E19">
      <w:pPr>
        <w:pStyle w:val="Ttulo1"/>
        <w:ind w:firstLine="1242"/>
      </w:pPr>
      <w:r>
        <w:t>DEMAIS QUESTIONAMENTOS</w:t>
      </w: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</w:tabs>
        <w:spacing w:before="54" w:line="291" w:lineRule="auto"/>
        <w:ind w:right="109" w:firstLine="0"/>
        <w:jc w:val="both"/>
      </w:pPr>
      <w:r>
        <w:rPr>
          <w:color w:val="000000"/>
        </w:rPr>
        <w:t>A referida licitação e seu respectivo edital foram publicados, com, pelo menos, 08 (oito) dias úteis de antecedência da data de abertura dos envelopes, respeitando o prazo legal previsto no art. 4º, inciso V da Lei 10.520/02?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</w:tabs>
        <w:spacing w:before="54" w:line="291" w:lineRule="auto"/>
        <w:ind w:left="1242" w:right="109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 xml:space="preserve">: Sim. 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1"/>
        <w:rPr>
          <w:color w:val="000000"/>
          <w:sz w:val="27"/>
          <w:szCs w:val="27"/>
        </w:rPr>
      </w:pP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7"/>
        </w:tabs>
        <w:spacing w:line="290" w:lineRule="auto"/>
        <w:ind w:right="110" w:firstLine="0"/>
        <w:jc w:val="both"/>
      </w:pPr>
      <w:r>
        <w:rPr>
          <w:color w:val="000000"/>
        </w:rPr>
        <w:t>Houve alguma alteração/aditamento ao Edital após sua publicação? Em caso positivo, solicitamos disponibilizar cópia para consulta.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47"/>
        </w:tabs>
        <w:spacing w:line="290" w:lineRule="auto"/>
        <w:ind w:left="1242" w:right="110"/>
        <w:rPr>
          <w:color w:val="FF0000"/>
        </w:rPr>
      </w:pPr>
      <w:r>
        <w:rPr>
          <w:b/>
          <w:color w:val="FF0000"/>
        </w:rPr>
        <w:t>Resposta</w:t>
      </w:r>
      <w:r>
        <w:rPr>
          <w:color w:val="FF0000"/>
        </w:rPr>
        <w:t>: Não</w:t>
      </w:r>
    </w:p>
    <w:p w:rsidR="00F07C54" w:rsidRDefault="00F07C54">
      <w:pPr>
        <w:pBdr>
          <w:top w:val="nil"/>
          <w:left w:val="nil"/>
          <w:bottom w:val="nil"/>
          <w:right w:val="nil"/>
          <w:between w:val="nil"/>
        </w:pBdr>
        <w:spacing w:before="3"/>
        <w:rPr>
          <w:color w:val="000000"/>
          <w:sz w:val="27"/>
          <w:szCs w:val="27"/>
        </w:rPr>
      </w:pPr>
    </w:p>
    <w:p w:rsidR="00F07C54" w:rsidRDefault="00F66E19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90" w:lineRule="auto"/>
        <w:ind w:right="114" w:firstLine="0"/>
        <w:jc w:val="both"/>
      </w:pPr>
      <w:r>
        <w:rPr>
          <w:color w:val="000000"/>
        </w:rPr>
        <w:t>Houve apresentação de impugnação e/ou pedido de esclarecimentos por algum interessado? Em caso positivo, solicitamos disponibilizar cópia para consulta.</w:t>
      </w:r>
    </w:p>
    <w:p w:rsidR="00F07C54" w:rsidRDefault="00F66E19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90" w:lineRule="auto"/>
        <w:ind w:left="1242" w:right="114"/>
        <w:rPr>
          <w:color w:val="FF0000"/>
        </w:rPr>
      </w:pPr>
      <w:r>
        <w:rPr>
          <w:b/>
          <w:color w:val="FF0000"/>
        </w:rPr>
        <w:t>Resposta:</w:t>
      </w:r>
      <w:r>
        <w:rPr>
          <w:color w:val="FF0000"/>
        </w:rPr>
        <w:t xml:space="preserve"> Houve pedido de Esclarecimento, cujas respostas serão publicadas no site do </w:t>
      </w:r>
      <w:r>
        <w:rPr>
          <w:color w:val="FF0000"/>
        </w:rPr>
        <w:lastRenderedPageBreak/>
        <w:t>município.</w:t>
      </w:r>
    </w:p>
    <w:p w:rsidR="0025235B" w:rsidRDefault="0025235B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90" w:lineRule="auto"/>
        <w:ind w:left="1242" w:right="114"/>
        <w:rPr>
          <w:rFonts w:ascii="Arial" w:eastAsia="Arial" w:hAnsi="Arial" w:cs="Arial"/>
          <w:sz w:val="18"/>
          <w:szCs w:val="18"/>
        </w:rPr>
      </w:pPr>
    </w:p>
    <w:p w:rsidR="0025235B" w:rsidRDefault="0025235B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90" w:lineRule="auto"/>
        <w:ind w:left="1242" w:right="114"/>
        <w:rPr>
          <w:rFonts w:ascii="Arial" w:eastAsia="Arial" w:hAnsi="Arial" w:cs="Arial"/>
          <w:sz w:val="18"/>
          <w:szCs w:val="18"/>
        </w:rPr>
      </w:pPr>
    </w:p>
    <w:p w:rsidR="0025235B" w:rsidRDefault="0025235B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90" w:lineRule="auto"/>
        <w:ind w:left="1242" w:right="114"/>
        <w:rPr>
          <w:rFonts w:ascii="Arial" w:eastAsia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eastAsia="Arial" w:hAnsi="Arial" w:cs="Arial"/>
          <w:sz w:val="18"/>
          <w:szCs w:val="18"/>
        </w:rPr>
        <w:t>Comissão Permanente de Licitação</w:t>
      </w:r>
    </w:p>
    <w:p w:rsidR="0025235B" w:rsidRDefault="0025235B">
      <w:pPr>
        <w:pBdr>
          <w:top w:val="nil"/>
          <w:left w:val="nil"/>
          <w:bottom w:val="nil"/>
          <w:right w:val="nil"/>
          <w:between w:val="nil"/>
        </w:pBdr>
        <w:tabs>
          <w:tab w:val="left" w:pos="1540"/>
        </w:tabs>
        <w:spacing w:line="290" w:lineRule="auto"/>
        <w:ind w:left="1242" w:right="114"/>
        <w:rPr>
          <w:rFonts w:ascii="Arial" w:eastAsia="Arial" w:hAnsi="Arial" w:cs="Arial"/>
          <w:color w:val="000000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Prefeitura Municipal de Castanhal</w:t>
      </w:r>
    </w:p>
    <w:sectPr w:rsidR="0025235B">
      <w:footerReference w:type="default" r:id="rId7"/>
      <w:pgSz w:w="11910" w:h="16840"/>
      <w:pgMar w:top="1320" w:right="1020" w:bottom="480" w:left="460" w:header="0" w:footer="28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5F80" w:rsidRDefault="00FA5F80">
      <w:r>
        <w:separator/>
      </w:r>
    </w:p>
  </w:endnote>
  <w:endnote w:type="continuationSeparator" w:id="0">
    <w:p w:rsidR="00FA5F80" w:rsidRDefault="00FA5F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7C54" w:rsidRDefault="00F07C54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5F80" w:rsidRDefault="00FA5F80">
      <w:r>
        <w:separator/>
      </w:r>
    </w:p>
  </w:footnote>
  <w:footnote w:type="continuationSeparator" w:id="0">
    <w:p w:rsidR="00FA5F80" w:rsidRDefault="00FA5F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44D85"/>
    <w:multiLevelType w:val="multilevel"/>
    <w:tmpl w:val="63EE1696"/>
    <w:lvl w:ilvl="0">
      <w:start w:val="2"/>
      <w:numFmt w:val="lowerLetter"/>
      <w:lvlText w:val="%1)"/>
      <w:lvlJc w:val="left"/>
      <w:pPr>
        <w:ind w:left="1465" w:hanging="223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2356" w:hanging="223"/>
      </w:pPr>
    </w:lvl>
    <w:lvl w:ilvl="2">
      <w:start w:val="1"/>
      <w:numFmt w:val="bullet"/>
      <w:lvlText w:val="•"/>
      <w:lvlJc w:val="left"/>
      <w:pPr>
        <w:ind w:left="3253" w:hanging="223"/>
      </w:pPr>
    </w:lvl>
    <w:lvl w:ilvl="3">
      <w:start w:val="1"/>
      <w:numFmt w:val="bullet"/>
      <w:lvlText w:val="•"/>
      <w:lvlJc w:val="left"/>
      <w:pPr>
        <w:ind w:left="4149" w:hanging="223"/>
      </w:pPr>
    </w:lvl>
    <w:lvl w:ilvl="4">
      <w:start w:val="1"/>
      <w:numFmt w:val="bullet"/>
      <w:lvlText w:val="•"/>
      <w:lvlJc w:val="left"/>
      <w:pPr>
        <w:ind w:left="5046" w:hanging="223"/>
      </w:pPr>
    </w:lvl>
    <w:lvl w:ilvl="5">
      <w:start w:val="1"/>
      <w:numFmt w:val="bullet"/>
      <w:lvlText w:val="•"/>
      <w:lvlJc w:val="left"/>
      <w:pPr>
        <w:ind w:left="5943" w:hanging="223"/>
      </w:pPr>
    </w:lvl>
    <w:lvl w:ilvl="6">
      <w:start w:val="1"/>
      <w:numFmt w:val="bullet"/>
      <w:lvlText w:val="•"/>
      <w:lvlJc w:val="left"/>
      <w:pPr>
        <w:ind w:left="6839" w:hanging="223"/>
      </w:pPr>
    </w:lvl>
    <w:lvl w:ilvl="7">
      <w:start w:val="1"/>
      <w:numFmt w:val="bullet"/>
      <w:lvlText w:val="•"/>
      <w:lvlJc w:val="left"/>
      <w:pPr>
        <w:ind w:left="7736" w:hanging="222"/>
      </w:pPr>
    </w:lvl>
    <w:lvl w:ilvl="8">
      <w:start w:val="1"/>
      <w:numFmt w:val="bullet"/>
      <w:lvlText w:val="•"/>
      <w:lvlJc w:val="left"/>
      <w:pPr>
        <w:ind w:left="8633" w:hanging="223"/>
      </w:pPr>
    </w:lvl>
  </w:abstractNum>
  <w:abstractNum w:abstractNumId="1" w15:restartNumberingAfterBreak="0">
    <w:nsid w:val="134448A6"/>
    <w:multiLevelType w:val="multilevel"/>
    <w:tmpl w:val="AF1EBFB4"/>
    <w:lvl w:ilvl="0">
      <w:start w:val="1"/>
      <w:numFmt w:val="lowerLetter"/>
      <w:lvlText w:val="%1)"/>
      <w:lvlJc w:val="left"/>
      <w:pPr>
        <w:ind w:left="1242" w:hanging="218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2158" w:hanging="219"/>
      </w:pPr>
    </w:lvl>
    <w:lvl w:ilvl="2">
      <w:start w:val="1"/>
      <w:numFmt w:val="bullet"/>
      <w:lvlText w:val="•"/>
      <w:lvlJc w:val="left"/>
      <w:pPr>
        <w:ind w:left="3077" w:hanging="219"/>
      </w:pPr>
    </w:lvl>
    <w:lvl w:ilvl="3">
      <w:start w:val="1"/>
      <w:numFmt w:val="bullet"/>
      <w:lvlText w:val="•"/>
      <w:lvlJc w:val="left"/>
      <w:pPr>
        <w:ind w:left="3995" w:hanging="219"/>
      </w:pPr>
    </w:lvl>
    <w:lvl w:ilvl="4">
      <w:start w:val="1"/>
      <w:numFmt w:val="bullet"/>
      <w:lvlText w:val="•"/>
      <w:lvlJc w:val="left"/>
      <w:pPr>
        <w:ind w:left="4914" w:hanging="219"/>
      </w:pPr>
    </w:lvl>
    <w:lvl w:ilvl="5">
      <w:start w:val="1"/>
      <w:numFmt w:val="bullet"/>
      <w:lvlText w:val="•"/>
      <w:lvlJc w:val="left"/>
      <w:pPr>
        <w:ind w:left="5833" w:hanging="219"/>
      </w:pPr>
    </w:lvl>
    <w:lvl w:ilvl="6">
      <w:start w:val="1"/>
      <w:numFmt w:val="bullet"/>
      <w:lvlText w:val="•"/>
      <w:lvlJc w:val="left"/>
      <w:pPr>
        <w:ind w:left="6751" w:hanging="219"/>
      </w:pPr>
    </w:lvl>
    <w:lvl w:ilvl="7">
      <w:start w:val="1"/>
      <w:numFmt w:val="bullet"/>
      <w:lvlText w:val="•"/>
      <w:lvlJc w:val="left"/>
      <w:pPr>
        <w:ind w:left="7670" w:hanging="219"/>
      </w:pPr>
    </w:lvl>
    <w:lvl w:ilvl="8">
      <w:start w:val="1"/>
      <w:numFmt w:val="bullet"/>
      <w:lvlText w:val="•"/>
      <w:lvlJc w:val="left"/>
      <w:pPr>
        <w:ind w:left="8589" w:hanging="219"/>
      </w:pPr>
    </w:lvl>
  </w:abstractNum>
  <w:abstractNum w:abstractNumId="2" w15:restartNumberingAfterBreak="0">
    <w:nsid w:val="439451D1"/>
    <w:multiLevelType w:val="multilevel"/>
    <w:tmpl w:val="175A184A"/>
    <w:lvl w:ilvl="0">
      <w:start w:val="10"/>
      <w:numFmt w:val="decimal"/>
      <w:lvlText w:val="%1)"/>
      <w:lvlJc w:val="left"/>
      <w:pPr>
        <w:ind w:left="1242" w:hanging="328"/>
      </w:pPr>
      <w:rPr>
        <w:rFonts w:ascii="Century Gothic" w:eastAsia="Century Gothic" w:hAnsi="Century Gothic" w:cs="Century Gothic"/>
        <w:b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2158" w:hanging="329"/>
      </w:pPr>
    </w:lvl>
    <w:lvl w:ilvl="2">
      <w:start w:val="1"/>
      <w:numFmt w:val="bullet"/>
      <w:lvlText w:val="•"/>
      <w:lvlJc w:val="left"/>
      <w:pPr>
        <w:ind w:left="3077" w:hanging="329"/>
      </w:pPr>
    </w:lvl>
    <w:lvl w:ilvl="3">
      <w:start w:val="1"/>
      <w:numFmt w:val="bullet"/>
      <w:lvlText w:val="•"/>
      <w:lvlJc w:val="left"/>
      <w:pPr>
        <w:ind w:left="3995" w:hanging="329"/>
      </w:pPr>
    </w:lvl>
    <w:lvl w:ilvl="4">
      <w:start w:val="1"/>
      <w:numFmt w:val="bullet"/>
      <w:lvlText w:val="•"/>
      <w:lvlJc w:val="left"/>
      <w:pPr>
        <w:ind w:left="4914" w:hanging="329"/>
      </w:pPr>
    </w:lvl>
    <w:lvl w:ilvl="5">
      <w:start w:val="1"/>
      <w:numFmt w:val="bullet"/>
      <w:lvlText w:val="•"/>
      <w:lvlJc w:val="left"/>
      <w:pPr>
        <w:ind w:left="5833" w:hanging="329"/>
      </w:pPr>
    </w:lvl>
    <w:lvl w:ilvl="6">
      <w:start w:val="1"/>
      <w:numFmt w:val="bullet"/>
      <w:lvlText w:val="•"/>
      <w:lvlJc w:val="left"/>
      <w:pPr>
        <w:ind w:left="6751" w:hanging="329"/>
      </w:pPr>
    </w:lvl>
    <w:lvl w:ilvl="7">
      <w:start w:val="1"/>
      <w:numFmt w:val="bullet"/>
      <w:lvlText w:val="•"/>
      <w:lvlJc w:val="left"/>
      <w:pPr>
        <w:ind w:left="7670" w:hanging="329"/>
      </w:pPr>
    </w:lvl>
    <w:lvl w:ilvl="8">
      <w:start w:val="1"/>
      <w:numFmt w:val="bullet"/>
      <w:lvlText w:val="•"/>
      <w:lvlJc w:val="left"/>
      <w:pPr>
        <w:ind w:left="8589" w:hanging="329"/>
      </w:pPr>
    </w:lvl>
  </w:abstractNum>
  <w:abstractNum w:abstractNumId="3" w15:restartNumberingAfterBreak="0">
    <w:nsid w:val="5C073BB5"/>
    <w:multiLevelType w:val="multilevel"/>
    <w:tmpl w:val="7A2E931C"/>
    <w:lvl w:ilvl="0">
      <w:start w:val="1"/>
      <w:numFmt w:val="decimalZero"/>
      <w:lvlText w:val="%1)"/>
      <w:lvlJc w:val="left"/>
      <w:pPr>
        <w:ind w:left="1242" w:hanging="332"/>
      </w:pPr>
      <w:rPr>
        <w:rFonts w:ascii="Century Gothic" w:eastAsia="Century Gothic" w:hAnsi="Century Gothic" w:cs="Century Gothic"/>
        <w:b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2158" w:hanging="331"/>
      </w:pPr>
    </w:lvl>
    <w:lvl w:ilvl="2">
      <w:start w:val="1"/>
      <w:numFmt w:val="bullet"/>
      <w:lvlText w:val="•"/>
      <w:lvlJc w:val="left"/>
      <w:pPr>
        <w:ind w:left="3077" w:hanging="332"/>
      </w:pPr>
    </w:lvl>
    <w:lvl w:ilvl="3">
      <w:start w:val="1"/>
      <w:numFmt w:val="bullet"/>
      <w:lvlText w:val="•"/>
      <w:lvlJc w:val="left"/>
      <w:pPr>
        <w:ind w:left="3995" w:hanging="332"/>
      </w:pPr>
    </w:lvl>
    <w:lvl w:ilvl="4">
      <w:start w:val="1"/>
      <w:numFmt w:val="bullet"/>
      <w:lvlText w:val="•"/>
      <w:lvlJc w:val="left"/>
      <w:pPr>
        <w:ind w:left="4914" w:hanging="332"/>
      </w:pPr>
    </w:lvl>
    <w:lvl w:ilvl="5">
      <w:start w:val="1"/>
      <w:numFmt w:val="bullet"/>
      <w:lvlText w:val="•"/>
      <w:lvlJc w:val="left"/>
      <w:pPr>
        <w:ind w:left="5833" w:hanging="332"/>
      </w:pPr>
    </w:lvl>
    <w:lvl w:ilvl="6">
      <w:start w:val="1"/>
      <w:numFmt w:val="bullet"/>
      <w:lvlText w:val="•"/>
      <w:lvlJc w:val="left"/>
      <w:pPr>
        <w:ind w:left="6751" w:hanging="332"/>
      </w:pPr>
    </w:lvl>
    <w:lvl w:ilvl="7">
      <w:start w:val="1"/>
      <w:numFmt w:val="bullet"/>
      <w:lvlText w:val="•"/>
      <w:lvlJc w:val="left"/>
      <w:pPr>
        <w:ind w:left="7670" w:hanging="332"/>
      </w:pPr>
    </w:lvl>
    <w:lvl w:ilvl="8">
      <w:start w:val="1"/>
      <w:numFmt w:val="bullet"/>
      <w:lvlText w:val="•"/>
      <w:lvlJc w:val="left"/>
      <w:pPr>
        <w:ind w:left="8589" w:hanging="332"/>
      </w:pPr>
    </w:lvl>
  </w:abstractNum>
  <w:abstractNum w:abstractNumId="4" w15:restartNumberingAfterBreak="0">
    <w:nsid w:val="699A1577"/>
    <w:multiLevelType w:val="multilevel"/>
    <w:tmpl w:val="78B8AD22"/>
    <w:lvl w:ilvl="0">
      <w:start w:val="1"/>
      <w:numFmt w:val="bullet"/>
      <w:lvlText w:val="-"/>
      <w:lvlJc w:val="left"/>
      <w:pPr>
        <w:ind w:left="1242" w:hanging="216"/>
      </w:pPr>
      <w:rPr>
        <w:rFonts w:ascii="Tahoma" w:eastAsia="Tahoma" w:hAnsi="Tahoma" w:cs="Tahoma"/>
        <w:b w:val="0"/>
        <w:i w:val="0"/>
        <w:sz w:val="22"/>
        <w:szCs w:val="22"/>
      </w:rPr>
    </w:lvl>
    <w:lvl w:ilvl="1">
      <w:start w:val="1"/>
      <w:numFmt w:val="bullet"/>
      <w:lvlText w:val="•"/>
      <w:lvlJc w:val="left"/>
      <w:pPr>
        <w:ind w:left="2158" w:hanging="215"/>
      </w:pPr>
    </w:lvl>
    <w:lvl w:ilvl="2">
      <w:start w:val="1"/>
      <w:numFmt w:val="bullet"/>
      <w:lvlText w:val="•"/>
      <w:lvlJc w:val="left"/>
      <w:pPr>
        <w:ind w:left="3077" w:hanging="216"/>
      </w:pPr>
    </w:lvl>
    <w:lvl w:ilvl="3">
      <w:start w:val="1"/>
      <w:numFmt w:val="bullet"/>
      <w:lvlText w:val="•"/>
      <w:lvlJc w:val="left"/>
      <w:pPr>
        <w:ind w:left="3995" w:hanging="216"/>
      </w:pPr>
    </w:lvl>
    <w:lvl w:ilvl="4">
      <w:start w:val="1"/>
      <w:numFmt w:val="bullet"/>
      <w:lvlText w:val="•"/>
      <w:lvlJc w:val="left"/>
      <w:pPr>
        <w:ind w:left="4914" w:hanging="216"/>
      </w:pPr>
    </w:lvl>
    <w:lvl w:ilvl="5">
      <w:start w:val="1"/>
      <w:numFmt w:val="bullet"/>
      <w:lvlText w:val="•"/>
      <w:lvlJc w:val="left"/>
      <w:pPr>
        <w:ind w:left="5833" w:hanging="216"/>
      </w:pPr>
    </w:lvl>
    <w:lvl w:ilvl="6">
      <w:start w:val="1"/>
      <w:numFmt w:val="bullet"/>
      <w:lvlText w:val="•"/>
      <w:lvlJc w:val="left"/>
      <w:pPr>
        <w:ind w:left="6751" w:hanging="216"/>
      </w:pPr>
    </w:lvl>
    <w:lvl w:ilvl="7">
      <w:start w:val="1"/>
      <w:numFmt w:val="bullet"/>
      <w:lvlText w:val="•"/>
      <w:lvlJc w:val="left"/>
      <w:pPr>
        <w:ind w:left="7670" w:hanging="216"/>
      </w:pPr>
    </w:lvl>
    <w:lvl w:ilvl="8">
      <w:start w:val="1"/>
      <w:numFmt w:val="bullet"/>
      <w:lvlText w:val="•"/>
      <w:lvlJc w:val="left"/>
      <w:pPr>
        <w:ind w:left="8589" w:hanging="216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7C54"/>
    <w:rsid w:val="0025235B"/>
    <w:rsid w:val="005A3D0D"/>
    <w:rsid w:val="00A52967"/>
    <w:rsid w:val="00D31A6C"/>
    <w:rsid w:val="00F07C54"/>
    <w:rsid w:val="00F66E19"/>
    <w:rsid w:val="00FA5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577982-F95B-4D82-92D5-37CBD283E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="Tahoma" w:hAnsi="Tahoma" w:cs="Tahoma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ind w:left="1242"/>
      <w:outlineLvl w:val="0"/>
    </w:pPr>
    <w:rPr>
      <w:rFonts w:ascii="Century Gothic" w:eastAsia="Century Gothic" w:hAnsi="Century Gothic" w:cs="Century Gothic"/>
      <w:b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1375</Words>
  <Characters>7427</Characters>
  <Application>Microsoft Office Word</Application>
  <DocSecurity>0</DocSecurity>
  <Lines>61</Lines>
  <Paragraphs>17</Paragraphs>
  <ScaleCrop>false</ScaleCrop>
  <Company/>
  <LinksUpToDate>false</LinksUpToDate>
  <CharactersWithSpaces>8785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Licitação</dc:creator>
  <cp:lastModifiedBy>Licitação PMC 3</cp:lastModifiedBy>
  <cp:revision>4</cp:revision>
  <dcterms:created xsi:type="dcterms:W3CDTF">2021-11-16T15:57:00Z</dcterms:created>
  <dcterms:modified xsi:type="dcterms:W3CDTF">2021-11-16T16:00:00Z</dcterms:modified>
</cp:coreProperties>
</file>